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84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1E30650E" w:rsidR="002258C5" w:rsidRPr="00703B29" w:rsidRDefault="00BE3B86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5F76CD">
        <w:rPr>
          <w:rFonts w:cs="Arial"/>
          <w:sz w:val="20"/>
        </w:rPr>
        <w:t>7N0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5F76CD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37271D">
        <w:rPr>
          <w:rFonts w:cs="Arial"/>
          <w:sz w:val="20"/>
        </w:rPr>
        <w:t>0</w:t>
      </w:r>
      <w:r w:rsidR="005F76C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A9FA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2FE0536C" w:rsidR="00795FED" w:rsidRDefault="00D836B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836B2">
        <w:rPr>
          <w:rFonts w:ascii="Arial" w:hAnsi="Arial" w:cs="Arial"/>
          <w:b/>
          <w:spacing w:val="-3"/>
          <w:sz w:val="18"/>
          <w:szCs w:val="18"/>
        </w:rPr>
        <w:lastRenderedPageBreak/>
        <w:t xml:space="preserve"> </w:t>
      </w: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2DBFFAE" w14:textId="331E443D" w:rsidR="00FE54F4" w:rsidRDefault="00FE54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66D5AE5" w14:textId="4C515C4A" w:rsidR="00A96F02" w:rsidRDefault="00F849B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849BD">
        <w:drawing>
          <wp:inline distT="0" distB="0" distL="0" distR="0" wp14:anchorId="3FB8C423" wp14:editId="7A0CF862">
            <wp:extent cx="6480810" cy="1504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4AB9D" w14:textId="77777777" w:rsidR="00F3175B" w:rsidRDefault="00F3175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096B49E" w14:textId="422A3355" w:rsidR="00FE54F4" w:rsidRDefault="00F3175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3175B">
        <w:rPr>
          <w:noProof/>
        </w:rPr>
        <w:drawing>
          <wp:inline distT="0" distB="0" distL="0" distR="0" wp14:anchorId="2C2E913B" wp14:editId="62A02A76">
            <wp:extent cx="2504661" cy="1369136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66" cy="138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F9A3B" w14:textId="3C44F05D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57D47D1C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6284AD7" w14:textId="665638A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Title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57DC029E" w:rsidR="003201D4" w:rsidRDefault="00513A9C" w:rsidP="005F40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>
        <w:t xml:space="preserve"> </w:t>
      </w:r>
    </w:p>
    <w:p w14:paraId="29EF92FA" w14:textId="22FCB01C" w:rsidR="00787B72" w:rsidRPr="00FB5A41" w:rsidRDefault="00787B72" w:rsidP="00FB5A41">
      <w:pPr>
        <w:pStyle w:val="Footer"/>
        <w:rPr>
          <w:rFonts w:ascii="Arial" w:hAnsi="Arial" w:cs="Arial"/>
          <w:sz w:val="18"/>
          <w:szCs w:val="18"/>
        </w:rPr>
      </w:pPr>
      <w:r w:rsidRPr="00FB5A4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91100DF" w14:textId="41A49C8F" w:rsidR="00181D49" w:rsidRPr="00181D49" w:rsidRDefault="00181D49" w:rsidP="00181D49">
      <w:pPr>
        <w:ind w:right="566"/>
        <w:jc w:val="both"/>
        <w:rPr>
          <w:rFonts w:ascii="Arial" w:hAnsi="Arial"/>
          <w:sz w:val="18"/>
          <w:szCs w:val="18"/>
        </w:rPr>
      </w:pPr>
      <w:bookmarkStart w:id="0" w:name="_Hlk44676141"/>
      <w:bookmarkStart w:id="1" w:name="_Hlk66778716"/>
      <w:r w:rsidRPr="00181D49">
        <w:rPr>
          <w:rFonts w:ascii="Arial" w:hAnsi="Arial" w:cs="Arial"/>
          <w:spacing w:val="-2"/>
          <w:sz w:val="18"/>
          <w:szCs w:val="18"/>
        </w:rPr>
        <w:t xml:space="preserve">Primer mixes 1, 3, 12, 16, 19 and 28 </w:t>
      </w:r>
      <w:proofErr w:type="gramStart"/>
      <w:r w:rsidRPr="00181D49">
        <w:rPr>
          <w:rFonts w:ascii="Arial" w:hAnsi="Arial" w:cs="Arial"/>
          <w:spacing w:val="-2"/>
          <w:sz w:val="18"/>
          <w:szCs w:val="18"/>
        </w:rPr>
        <w:t xml:space="preserve">have </w:t>
      </w:r>
      <w:r w:rsidRPr="00181D49">
        <w:rPr>
          <w:rFonts w:ascii="Arial" w:hAnsi="Arial"/>
          <w:sz w:val="18"/>
          <w:szCs w:val="18"/>
        </w:rPr>
        <w:t>a tendency to</w:t>
      </w:r>
      <w:proofErr w:type="gramEnd"/>
      <w:r w:rsidRPr="00181D49">
        <w:rPr>
          <w:rFonts w:ascii="Arial" w:hAnsi="Arial"/>
          <w:sz w:val="18"/>
          <w:szCs w:val="18"/>
        </w:rPr>
        <w:t xml:space="preserve"> giving rise to primer oligomer formation.</w:t>
      </w:r>
    </w:p>
    <w:p w14:paraId="06449297" w14:textId="77777777" w:rsidR="00181D49" w:rsidRPr="00181D49" w:rsidRDefault="00181D49" w:rsidP="00181D4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6"/>
        <w:jc w:val="both"/>
        <w:rPr>
          <w:rFonts w:ascii="Arial" w:hAnsi="Arial" w:cs="Arial"/>
          <w:spacing w:val="-2"/>
          <w:sz w:val="18"/>
          <w:szCs w:val="18"/>
        </w:rPr>
      </w:pPr>
      <w:r w:rsidRPr="00181D49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181D49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181D49">
        <w:rPr>
          <w:rFonts w:ascii="Arial" w:hAnsi="Arial" w:cs="Arial"/>
          <w:spacing w:val="-2"/>
          <w:sz w:val="18"/>
          <w:szCs w:val="18"/>
        </w:rPr>
        <w:t xml:space="preserve"> 19 has a tendency of primer oligomer formation and also has an intense primer cloud due to the high number of primers present in the primer mix.</w:t>
      </w:r>
    </w:p>
    <w:p w14:paraId="46A65743" w14:textId="23F4ED69" w:rsidR="00181D49" w:rsidRPr="00181D49" w:rsidRDefault="00181D49" w:rsidP="00181D4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6"/>
        <w:jc w:val="both"/>
        <w:rPr>
          <w:rFonts w:ascii="Arial" w:hAnsi="Arial" w:cs="Arial"/>
          <w:spacing w:val="-2"/>
          <w:sz w:val="18"/>
          <w:szCs w:val="18"/>
        </w:rPr>
      </w:pPr>
      <w:r w:rsidRPr="00181D49">
        <w:rPr>
          <w:rFonts w:ascii="Arial" w:hAnsi="Arial" w:cs="Arial"/>
          <w:sz w:val="18"/>
          <w:szCs w:val="18"/>
        </w:rPr>
        <w:t xml:space="preserve">Primer </w:t>
      </w:r>
      <w:r w:rsidRPr="00181D49">
        <w:rPr>
          <w:rFonts w:ascii="Arial" w:hAnsi="Arial" w:cs="Arial"/>
          <w:spacing w:val="-2"/>
          <w:sz w:val="18"/>
          <w:szCs w:val="18"/>
        </w:rPr>
        <w:t>mixes 3, 9 and 27 may have tendencies of unspecific amplifications.</w:t>
      </w:r>
    </w:p>
    <w:p w14:paraId="766E7463" w14:textId="76509761" w:rsidR="00181D49" w:rsidRPr="00181D49" w:rsidRDefault="00181D49" w:rsidP="00181D49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2"/>
          <w:sz w:val="18"/>
          <w:szCs w:val="18"/>
        </w:rPr>
        <w:t>The DRB4*01:03:01:02N, DRB4*01:03:01:13N and DRB4*01:14N alleles are amplified by the primer pairs in primer mixes 18 and 30, whereas the</w:t>
      </w:r>
      <w:r w:rsidRPr="00181D49">
        <w:rPr>
          <w:rFonts w:ascii="Arial" w:hAnsi="Arial" w:cs="Arial"/>
          <w:spacing w:val="-3"/>
          <w:sz w:val="18"/>
          <w:szCs w:val="18"/>
        </w:rPr>
        <w:t xml:space="preserve"> DRB4*02:01N and DRB4*03:01N null alleles are only amplified by the primer pairs in primer mix 30.</w:t>
      </w:r>
    </w:p>
    <w:p w14:paraId="0673EC02" w14:textId="656775B9" w:rsidR="00181D49" w:rsidRPr="00181D49" w:rsidRDefault="00181D49" w:rsidP="00181D49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3"/>
          <w:sz w:val="18"/>
          <w:szCs w:val="18"/>
        </w:rPr>
        <w:t>The</w:t>
      </w:r>
      <w:r w:rsidRPr="00181D49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181D49">
        <w:rPr>
          <w:rFonts w:ascii="Arial" w:hAnsi="Arial" w:cs="Arial"/>
          <w:spacing w:val="-3"/>
          <w:sz w:val="18"/>
          <w:szCs w:val="18"/>
        </w:rPr>
        <w:t xml:space="preserve">DRB5*01:08:01N-01:08:02N and DRB5*02:26N alleles are amplified by the primer pairs in primer mix 24 in addition to primer mix 31. </w:t>
      </w:r>
    </w:p>
    <w:p w14:paraId="2831CDE3" w14:textId="4EB1C30D" w:rsidR="00181D49" w:rsidRPr="00181D49" w:rsidRDefault="00181D49" w:rsidP="00181D49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181D49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181D49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14:paraId="19B44A0B" w14:textId="23739295" w:rsidR="00181D49" w:rsidRPr="00181D49" w:rsidRDefault="00181D49" w:rsidP="00181D49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3"/>
          <w:sz w:val="18"/>
          <w:szCs w:val="18"/>
        </w:rPr>
        <w:t>Due to sharing of sequence motifs, some DRB3 alleles are amplified by primer mixes 4, 5, 11, 15, 16, 20 and 28 in addition to primer mix 29.</w:t>
      </w:r>
    </w:p>
    <w:p w14:paraId="348953E6" w14:textId="68992E3F" w:rsidR="00181D49" w:rsidRPr="00181D49" w:rsidRDefault="00181D49" w:rsidP="00181D49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3"/>
          <w:sz w:val="18"/>
          <w:szCs w:val="18"/>
        </w:rPr>
        <w:t>Due to sharing of sequence motifs, some DRB4 alleles are amplified by primer mixes 9 and 20 in addition to primer mix 30.</w:t>
      </w:r>
    </w:p>
    <w:p w14:paraId="347E719E" w14:textId="7EE07B94" w:rsidR="00FB5A41" w:rsidRPr="00181D49" w:rsidRDefault="00FB5A41" w:rsidP="00181D49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6"/>
        <w:jc w:val="both"/>
        <w:rPr>
          <w:rFonts w:ascii="Arial" w:hAnsi="Arial" w:cs="Arial"/>
          <w:spacing w:val="-3"/>
          <w:sz w:val="18"/>
          <w:szCs w:val="18"/>
        </w:rPr>
      </w:pPr>
      <w:r w:rsidRPr="00181D49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bookmarkEnd w:id="0"/>
    <w:p w14:paraId="070030D5" w14:textId="1070CD0F" w:rsidR="00990BCC" w:rsidRDefault="00FB5A41" w:rsidP="008F67DF">
      <w:pPr>
        <w:pStyle w:val="Footer"/>
        <w:tabs>
          <w:tab w:val="clear" w:pos="4153"/>
          <w:tab w:val="clear" w:pos="8306"/>
        </w:tabs>
        <w:ind w:right="566"/>
        <w:rPr>
          <w:sz w:val="18"/>
          <w:szCs w:val="18"/>
        </w:rPr>
      </w:pPr>
      <w:r w:rsidRPr="00181D4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81D49">
        <w:rPr>
          <w:rFonts w:ascii="Arial" w:hAnsi="Arial" w:cs="Arial"/>
          <w:sz w:val="18"/>
          <w:szCs w:val="18"/>
        </w:rPr>
        <w:t>mix</w:t>
      </w:r>
      <w:proofErr w:type="gramEnd"/>
      <w:r w:rsidRPr="00181D49">
        <w:rPr>
          <w:rFonts w:ascii="Arial" w:hAnsi="Arial" w:cs="Arial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bookmarkEnd w:id="1"/>
      <w:r w:rsidRPr="00181D49">
        <w:rPr>
          <w:rFonts w:ascii="Arial" w:hAnsi="Arial" w:cs="Arial"/>
          <w:sz w:val="18"/>
          <w:szCs w:val="18"/>
        </w:rPr>
        <w:t>.</w:t>
      </w:r>
      <w:r w:rsidR="00841798" w:rsidRPr="00181D49">
        <w:rPr>
          <w:sz w:val="18"/>
          <w:szCs w:val="18"/>
        </w:rPr>
        <w:t xml:space="preserve"> </w:t>
      </w:r>
      <w:r w:rsidR="00512069" w:rsidRPr="00181D49">
        <w:rPr>
          <w:sz w:val="18"/>
          <w:szCs w:val="18"/>
        </w:rPr>
        <w:br w:type="page"/>
      </w:r>
    </w:p>
    <w:p w14:paraId="52777C09" w14:textId="79EAD07A" w:rsidR="008F67DF" w:rsidRPr="008F67DF" w:rsidRDefault="008F67DF" w:rsidP="008F67DF">
      <w:pPr>
        <w:pStyle w:val="Footer"/>
        <w:tabs>
          <w:tab w:val="clear" w:pos="4153"/>
          <w:tab w:val="clear" w:pos="8306"/>
        </w:tabs>
        <w:ind w:right="566"/>
        <w:rPr>
          <w:sz w:val="18"/>
          <w:szCs w:val="18"/>
        </w:rPr>
      </w:pPr>
      <w:r w:rsidRPr="008F67DF">
        <w:rPr>
          <w:noProof/>
        </w:rPr>
        <w:lastRenderedPageBreak/>
        <w:drawing>
          <wp:inline distT="0" distB="0" distL="0" distR="0" wp14:anchorId="7013211A" wp14:editId="3A0B3CFF">
            <wp:extent cx="6210300" cy="64363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3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E04E4" w14:textId="68AD600E" w:rsidR="0071180A" w:rsidRDefault="0071180A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56C3BE40" w:rsidR="0071180A" w:rsidRDefault="0071180A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75E25D" w14:textId="588B0830" w:rsidR="0046701F" w:rsidRDefault="002354F6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54F6">
        <w:rPr>
          <w:noProof/>
        </w:rPr>
        <w:drawing>
          <wp:inline distT="0" distB="0" distL="0" distR="0" wp14:anchorId="58C2F387" wp14:editId="43A69422">
            <wp:extent cx="6210300" cy="744601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2EA" w14:textId="39C1BEA5" w:rsidR="0046701F" w:rsidRDefault="0046701F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Footer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A607AC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7A285250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F1CD84" w14:textId="77EAC756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C2CB8" w14:textId="5F0472F4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1ED974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0A5A25E9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00ED781" w14:textId="0E78C6E0" w:rsidR="00F26FC6" w:rsidRDefault="008F67DF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F67DF">
        <w:rPr>
          <w:noProof/>
        </w:rPr>
        <w:lastRenderedPageBreak/>
        <w:drawing>
          <wp:inline distT="0" distB="0" distL="0" distR="0" wp14:anchorId="32894947" wp14:editId="70EA5F36">
            <wp:extent cx="6210300" cy="68179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25888" w14:textId="5CEF1FD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591A0E" w14:textId="1DF792C7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B474E8E" w14:textId="5CA562CE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C4C4BB" w14:textId="7FBBEE88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BAC4E0" w14:textId="031FADC1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9798F" w14:textId="3F6D1245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582E03" w14:textId="47295DD6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01AAEB" w14:textId="51A4C05A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7428BE" w14:textId="5662A480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AAE6E0" w14:textId="614AD069" w:rsidR="000A4DAB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E54F4">
        <w:rPr>
          <w:noProof/>
        </w:rPr>
        <w:lastRenderedPageBreak/>
        <w:drawing>
          <wp:inline distT="0" distB="0" distL="0" distR="0" wp14:anchorId="4CA48CF9" wp14:editId="7F042708">
            <wp:extent cx="6210300" cy="80194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4237" w14:textId="4FCC61A9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4CC120" w14:textId="77777777" w:rsidR="008D0D0A" w:rsidRDefault="008D0D0A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C26142" w14:textId="77777777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F09CE0F" w14:textId="11B9FA9A" w:rsidR="00CF63DB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E54F4">
        <w:rPr>
          <w:noProof/>
        </w:rPr>
        <w:lastRenderedPageBreak/>
        <w:drawing>
          <wp:inline distT="0" distB="0" distL="0" distR="0" wp14:anchorId="45B1292B" wp14:editId="6DD15152">
            <wp:extent cx="6210300" cy="71494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1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1EFD" w14:textId="77777777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A6DE08F" w14:textId="77777777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CA22F" w14:textId="77777777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5C3AD9" w14:textId="77777777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618438" w14:textId="12299F8B" w:rsidR="00CF63DB" w:rsidRDefault="00CF63D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DA4893" w14:textId="57B433F9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73AC72D" w14:textId="64F7DC84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3D3A59F" w14:textId="39858D4B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38A497E" w14:textId="7B32390B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0C345C5" w14:textId="6E586A42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01B7879" w14:textId="52CF6B53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E54F4">
        <w:rPr>
          <w:noProof/>
        </w:rPr>
        <w:lastRenderedPageBreak/>
        <w:drawing>
          <wp:inline distT="0" distB="0" distL="0" distR="0" wp14:anchorId="1DCE9853" wp14:editId="5B7C838C">
            <wp:extent cx="6210300" cy="5677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2458" w14:textId="1724CF31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A2D3BF3" w14:textId="3461DF7A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9C70B16" w14:textId="54011492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7F0D1D" w14:textId="4D26F6D6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D85FC2" w14:textId="09DE8486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8EC3A6" w14:textId="57F48F45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292D58" w14:textId="32BD7CA9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642441" w14:textId="5ECFA8AE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F86F799" w14:textId="57D580FF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C29D5D" w14:textId="291BD3C0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9733DC" w14:textId="62AD40DB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9E0BC5" w14:textId="693641DB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895EB9" w14:textId="6E03DC2F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522F661" w14:textId="4952B217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48707CE" w14:textId="4B432F72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B7FF86F" w14:textId="276ABA3B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771F4F" w14:textId="28F8E42E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F568150" w14:textId="64ABDAA3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EF93BB" w14:textId="150331B9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972FF1" w14:textId="6117110F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CF6447D" w14:textId="1EAE59A9" w:rsidR="00FE54F4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410286B" w14:textId="39C5F950" w:rsidR="00CF63DB" w:rsidRDefault="00FE54F4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E54F4">
        <w:rPr>
          <w:noProof/>
        </w:rPr>
        <w:lastRenderedPageBreak/>
        <w:drawing>
          <wp:inline distT="0" distB="0" distL="0" distR="0" wp14:anchorId="69EE5EF6" wp14:editId="35377B97">
            <wp:extent cx="6210300" cy="65068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4A712" w14:textId="60BCB099" w:rsidR="00D425AE" w:rsidRPr="0057679C" w:rsidRDefault="00D425AE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</w:t>
      </w:r>
      <w:r w:rsidR="007B6279">
        <w:rPr>
          <w:rFonts w:ascii="Arial" w:hAnsi="Arial" w:cs="Arial"/>
          <w:spacing w:val="-3"/>
          <w:sz w:val="18"/>
          <w:szCs w:val="18"/>
        </w:rPr>
        <w:t>2</w:t>
      </w:r>
      <w:r w:rsidR="00BD5582">
        <w:rPr>
          <w:rFonts w:ascii="Arial" w:hAnsi="Arial" w:cs="Arial"/>
          <w:spacing w:val="-3"/>
          <w:sz w:val="18"/>
          <w:szCs w:val="18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October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1</w:t>
      </w:r>
      <w:r w:rsidR="00BD5582">
        <w:rPr>
          <w:rFonts w:ascii="Arial" w:hAnsi="Arial" w:cs="Arial"/>
          <w:spacing w:val="-3"/>
          <w:sz w:val="18"/>
          <w:szCs w:val="18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CF63DB">
        <w:rPr>
          <w:rFonts w:ascii="Arial" w:hAnsi="Arial" w:cs="Arial"/>
          <w:spacing w:val="-3"/>
          <w:sz w:val="18"/>
          <w:szCs w:val="18"/>
        </w:rPr>
        <w:t>4</w:t>
      </w:r>
      <w:r w:rsidR="00BD5582">
        <w:rPr>
          <w:rFonts w:ascii="Arial" w:hAnsi="Arial" w:cs="Arial"/>
          <w:spacing w:val="-3"/>
          <w:sz w:val="18"/>
          <w:szCs w:val="18"/>
        </w:rPr>
        <w:t>6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2" w:history="1">
        <w:r w:rsidRPr="00990BCC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90B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Pr="00895532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895532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895532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4" w:history="1">
        <w:r w:rsidRPr="00895532">
          <w:rPr>
            <w:rStyle w:val="Hyperlink"/>
            <w:rFonts w:ascii="Arial" w:hAnsi="Arial" w:cs="Arial"/>
            <w:sz w:val="18"/>
            <w:szCs w:val="18"/>
          </w:rPr>
          <w:t>www.worldmarrow.org</w:t>
        </w:r>
      </w:hyperlink>
      <w:r w:rsidRPr="00895532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895532">
        <w:rPr>
          <w:rStyle w:val="Strong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895532">
        <w:rPr>
          <w:rStyle w:val="Strong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:</w:t>
      </w:r>
      <w:r w:rsidRPr="00895532">
        <w:rPr>
          <w:rFonts w:ascii="Arial" w:hAnsi="Arial" w:cs="Arial"/>
          <w:color w:val="1F1F1F"/>
          <w:sz w:val="18"/>
          <w:szCs w:val="18"/>
        </w:rPr>
        <w:t>95-170.</w:t>
      </w:r>
    </w:p>
    <w:p w14:paraId="1C685A28" w14:textId="2C37A391" w:rsidR="00FE54F4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4C6C8F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895532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652"/>
        <w:gridCol w:w="3652"/>
      </w:tblGrid>
      <w:tr w:rsidR="00B66BC0" w:rsidRPr="00B66BC0" w14:paraId="578CD75B" w14:textId="77777777" w:rsidTr="0077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34CF9332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1A4EAE99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66BC0" w:rsidRPr="00B66BC0" w14:paraId="167F67B5" w14:textId="77777777" w:rsidTr="00077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12EAB9A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67A2238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66BC0" w:rsidRPr="00B66BC0" w14:paraId="426E3954" w14:textId="77777777" w:rsidTr="00077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0BA486C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DRB1*08:31, DRB1*11:05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5791D84" w14:textId="77777777" w:rsidR="00B66BC0" w:rsidRPr="00B66BC0" w:rsidRDefault="00B66BC0" w:rsidP="007741B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DRB1*12:57, DRB3*02:111</w:t>
            </w:r>
          </w:p>
        </w:tc>
      </w:tr>
    </w:tbl>
    <w:p w14:paraId="639E1BB2" w14:textId="10CEC4C1" w:rsidR="00FE54F4" w:rsidRDefault="00FE54F4" w:rsidP="00B66BC0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rPr>
          <w:rFonts w:ascii="Arial" w:hAnsi="Arial" w:cs="Arial"/>
          <w:color w:val="1F1F1F"/>
          <w:sz w:val="16"/>
          <w:szCs w:val="16"/>
          <w:u w:val="single"/>
        </w:rPr>
      </w:pPr>
    </w:p>
    <w:p w14:paraId="5630FD14" w14:textId="6EF5B7EE" w:rsidR="0076764D" w:rsidRPr="00FE54F4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6"/>
          <w:szCs w:val="16"/>
          <w:u w:val="single"/>
        </w:rPr>
      </w:pPr>
      <w:r w:rsidRPr="00FE54F4">
        <w:rPr>
          <w:rFonts w:ascii="Arial" w:hAnsi="Arial" w:cs="Arial"/>
          <w:color w:val="1F1F1F"/>
          <w:sz w:val="16"/>
          <w:szCs w:val="16"/>
          <w:u w:val="single"/>
        </w:rPr>
        <w:t>Abbreviations</w:t>
      </w:r>
    </w:p>
    <w:p w14:paraId="4850A1AF" w14:textId="181A6E26" w:rsidR="000B221E" w:rsidRPr="00FE54F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6"/>
          <w:szCs w:val="16"/>
        </w:rPr>
      </w:pPr>
      <w:r w:rsidRPr="00FE54F4">
        <w:rPr>
          <w:rFonts w:ascii="Arial" w:hAnsi="Arial" w:cs="Arial"/>
          <w:sz w:val="16"/>
          <w:szCs w:val="16"/>
        </w:rPr>
        <w:t>w</w:t>
      </w:r>
      <w:r w:rsidR="00CF63DB" w:rsidRPr="00FE54F4">
        <w:rPr>
          <w:rFonts w:ascii="Arial" w:hAnsi="Arial" w:cs="Arial"/>
          <w:sz w:val="16"/>
          <w:szCs w:val="16"/>
        </w:rPr>
        <w:t>:</w:t>
      </w:r>
      <w:r w:rsidRPr="00FE54F4">
        <w:rPr>
          <w:rFonts w:ascii="Arial" w:hAnsi="Arial" w:cs="Arial"/>
          <w:sz w:val="16"/>
          <w:szCs w:val="16"/>
        </w:rPr>
        <w:t xml:space="preserve"> might be weakly amplified.</w:t>
      </w:r>
    </w:p>
    <w:p w14:paraId="5857944F" w14:textId="0E07C93C" w:rsidR="00B002B4" w:rsidRPr="00FE54F4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6"/>
          <w:szCs w:val="16"/>
        </w:rPr>
      </w:pPr>
      <w:proofErr w:type="gramStart"/>
      <w:r w:rsidRPr="00FE54F4">
        <w:rPr>
          <w:rFonts w:ascii="Arial" w:hAnsi="Arial" w:cs="Arial"/>
          <w:spacing w:val="-1"/>
          <w:sz w:val="16"/>
          <w:szCs w:val="16"/>
        </w:rPr>
        <w:t>?</w:t>
      </w:r>
      <w:r w:rsidR="00CF63DB" w:rsidRPr="00FE54F4">
        <w:rPr>
          <w:rFonts w:ascii="Arial" w:hAnsi="Arial" w:cs="Arial"/>
          <w:spacing w:val="-1"/>
          <w:sz w:val="16"/>
          <w:szCs w:val="16"/>
        </w:rPr>
        <w:t>:</w:t>
      </w:r>
      <w:proofErr w:type="gramEnd"/>
      <w:r w:rsidRPr="00FE54F4">
        <w:rPr>
          <w:rFonts w:ascii="Arial" w:hAnsi="Arial" w:cs="Arial"/>
          <w:spacing w:val="-1"/>
          <w:sz w:val="16"/>
          <w:szCs w:val="16"/>
        </w:rPr>
        <w:t xml:space="preserve"> nucleotide sequence information not available for the primer matching sequence.</w:t>
      </w:r>
    </w:p>
    <w:sectPr w:rsidR="00B002B4" w:rsidRPr="00FE54F4" w:rsidSect="001C228D">
      <w:footerReference w:type="default" r:id="rId25"/>
      <w:type w:val="continuous"/>
      <w:pgSz w:w="11907" w:h="16840" w:code="9"/>
      <w:pgMar w:top="1701" w:right="1134" w:bottom="1135" w:left="993" w:header="584" w:footer="46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2FD3" w14:textId="77777777" w:rsidR="005F76CD" w:rsidRPr="00060351" w:rsidRDefault="005F76CD" w:rsidP="005F76C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1E58EA4" w14:textId="77777777" w:rsidR="005F76CD" w:rsidRPr="00834CB9" w:rsidRDefault="005F76CD" w:rsidP="005F76C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E9DED03" w14:textId="77777777" w:rsidR="005F76CD" w:rsidRPr="00393C78" w:rsidRDefault="005F76CD" w:rsidP="005F76C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151D79D" w14:textId="2466277D" w:rsidR="00835452" w:rsidRPr="00A6082E" w:rsidRDefault="005F76CD" w:rsidP="005F76C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3C5D" w14:textId="77777777" w:rsidR="005F76CD" w:rsidRPr="00060351" w:rsidRDefault="005F76CD" w:rsidP="005F76C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41D184D7" w14:textId="77777777" w:rsidR="005F76CD" w:rsidRPr="00834CB9" w:rsidRDefault="005F76CD" w:rsidP="005F76C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DE209C5" w14:textId="77777777" w:rsidR="005F76CD" w:rsidRPr="00393C78" w:rsidRDefault="005F76CD" w:rsidP="005F76C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6FEF6DA" w14:textId="039D7FFF" w:rsidR="006D6354" w:rsidRPr="005F76CD" w:rsidRDefault="005F76CD" w:rsidP="005F76C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D357" w14:textId="77777777" w:rsidR="00FE54F4" w:rsidRPr="00060351" w:rsidRDefault="00FE54F4" w:rsidP="00FE54F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01DA4E6" w14:textId="77777777" w:rsidR="00FE54F4" w:rsidRPr="00834CB9" w:rsidRDefault="00FE54F4" w:rsidP="00FE54F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C4BBB6F" w14:textId="77777777" w:rsidR="00FE54F4" w:rsidRPr="00393C78" w:rsidRDefault="00FE54F4" w:rsidP="00FE54F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91EE1FE" w14:textId="60626DC9" w:rsidR="006D6354" w:rsidRPr="00FE54F4" w:rsidRDefault="00FE54F4" w:rsidP="00FE54F4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4BE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ED91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4420" w14:textId="5BFED366" w:rsidR="005F76CD" w:rsidRPr="005F76CD" w:rsidRDefault="005F76CD" w:rsidP="005F76CD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5F76CD">
      <w:rPr>
        <w:sz w:val="20"/>
      </w:rPr>
      <w:t xml:space="preserve">Gel Documentation </w:t>
    </w:r>
    <w:r w:rsidRPr="005F76CD">
      <w:rPr>
        <w:rFonts w:cs="Arial"/>
        <w:sz w:val="20"/>
      </w:rPr>
      <w:t>Form and Worksheet</w:t>
    </w:r>
    <w:r>
      <w:rPr>
        <w:rFonts w:cs="Arial"/>
        <w:sz w:val="20"/>
      </w:rPr>
      <w:tab/>
    </w:r>
    <w:r w:rsidRPr="005F76CD">
      <w:rPr>
        <w:rFonts w:cs="Arial"/>
        <w:sz w:val="20"/>
      </w:rPr>
      <w:t xml:space="preserve">Page </w:t>
    </w:r>
    <w:r w:rsidRPr="005F76CD">
      <w:rPr>
        <w:rFonts w:cs="Arial"/>
        <w:sz w:val="20"/>
      </w:rPr>
      <w:fldChar w:fldCharType="begin"/>
    </w:r>
    <w:r w:rsidRPr="005F76CD">
      <w:rPr>
        <w:rFonts w:cs="Arial"/>
        <w:sz w:val="20"/>
      </w:rPr>
      <w:instrText xml:space="preserve"> PAGE </w:instrText>
    </w:r>
    <w:r w:rsidRPr="005F76CD">
      <w:rPr>
        <w:rFonts w:cs="Arial"/>
        <w:sz w:val="20"/>
      </w:rPr>
      <w:fldChar w:fldCharType="separate"/>
    </w:r>
    <w:r w:rsidRPr="005F76CD">
      <w:rPr>
        <w:rFonts w:cs="Arial"/>
        <w:sz w:val="20"/>
      </w:rPr>
      <w:t>1</w:t>
    </w:r>
    <w:r w:rsidRPr="005F76CD">
      <w:rPr>
        <w:rFonts w:cs="Arial"/>
        <w:sz w:val="20"/>
      </w:rPr>
      <w:fldChar w:fldCharType="end"/>
    </w:r>
    <w:r w:rsidRPr="005F76CD">
      <w:rPr>
        <w:rFonts w:cs="Arial"/>
        <w:sz w:val="20"/>
      </w:rPr>
      <w:t xml:space="preserve"> of </w:t>
    </w:r>
    <w:r w:rsidRPr="005F76CD">
      <w:rPr>
        <w:rFonts w:cs="Arial"/>
        <w:sz w:val="20"/>
      </w:rPr>
      <w:fldChar w:fldCharType="begin"/>
    </w:r>
    <w:r w:rsidRPr="005F76CD">
      <w:rPr>
        <w:rFonts w:cs="Arial"/>
        <w:sz w:val="20"/>
      </w:rPr>
      <w:instrText xml:space="preserve"> NUMPAGES </w:instrText>
    </w:r>
    <w:r w:rsidRPr="005F76CD">
      <w:rPr>
        <w:rFonts w:cs="Arial"/>
        <w:sz w:val="20"/>
      </w:rPr>
      <w:fldChar w:fldCharType="separate"/>
    </w:r>
    <w:r w:rsidRPr="005F76CD">
      <w:rPr>
        <w:rFonts w:cs="Arial"/>
        <w:sz w:val="20"/>
      </w:rPr>
      <w:t>9</w:t>
    </w:r>
    <w:r w:rsidRPr="005F76CD">
      <w:rPr>
        <w:rFonts w:cs="Arial"/>
        <w:sz w:val="20"/>
      </w:rPr>
      <w:fldChar w:fldCharType="end"/>
    </w:r>
  </w:p>
  <w:p w14:paraId="4AB91B83" w14:textId="7A6B9B10" w:rsidR="00D06B65" w:rsidRPr="005F76CD" w:rsidRDefault="00E048E5" w:rsidP="00336B04">
    <w:pPr>
      <w:rPr>
        <w:rFonts w:ascii="Arial" w:hAnsi="Arial" w:cs="Arial"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7A21DB6" wp14:editId="6C91F4B1">
          <wp:simplePos x="0" y="0"/>
          <wp:positionH relativeFrom="margin">
            <wp:posOffset>-81915</wp:posOffset>
          </wp:positionH>
          <wp:positionV relativeFrom="paragraph">
            <wp:posOffset>-40640</wp:posOffset>
          </wp:positionV>
          <wp:extent cx="1673888" cy="228600"/>
          <wp:effectExtent l="0" t="0" r="254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065" cy="228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2BA01" wp14:editId="5875B686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26C13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2BA01" id="Rektangel 2" o:spid="_x0000_s1026" style="position:absolute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a0v0/N8AAAAKAQAADwAAAAAA&#10;AAAAAAAAAADmAwAAZHJzL2Rvd25yZXYueG1sUEsFBgAAAAAEAAQA8wAAAPIEAAAAAA==&#10;" filled="f" stroked="f">
              <v:textbox style="mso-fit-shape-to-text:t">
                <w:txbxContent>
                  <w:p w14:paraId="16B26C13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36B04">
      <w:rPr>
        <w:rFonts w:ascii="Arial" w:hAnsi="Arial" w:cs="Arial"/>
        <w:b/>
        <w:sz w:val="20"/>
        <w:szCs w:val="20"/>
      </w:rPr>
      <w:t xml:space="preserve">               </w:t>
    </w:r>
    <w:r w:rsidR="00BE3B86">
      <w:rPr>
        <w:rFonts w:ascii="Arial" w:hAnsi="Arial" w:cs="Arial"/>
        <w:b/>
        <w:sz w:val="20"/>
        <w:szCs w:val="20"/>
      </w:rPr>
      <w:t>DR low resolution</w:t>
    </w:r>
    <w:r w:rsidR="005F76CD">
      <w:rPr>
        <w:rFonts w:ascii="Arial" w:hAnsi="Arial" w:cs="Arial"/>
        <w:b/>
        <w:sz w:val="20"/>
        <w:szCs w:val="20"/>
      </w:rPr>
      <w:t xml:space="preserve">  </w:t>
    </w:r>
    <w:r w:rsidR="00336B04">
      <w:rPr>
        <w:rFonts w:ascii="Arial" w:hAnsi="Arial" w:cs="Arial"/>
        <w:b/>
        <w:sz w:val="20"/>
        <w:szCs w:val="20"/>
      </w:rPr>
      <w:t xml:space="preserve">              </w:t>
    </w:r>
    <w:r w:rsidR="005F76CD" w:rsidRPr="00F94550">
      <w:rPr>
        <w:rFonts w:ascii="Arial" w:hAnsi="Arial"/>
        <w:sz w:val="20"/>
        <w:szCs w:val="20"/>
      </w:rPr>
      <w:t xml:space="preserve">Visit </w:t>
    </w:r>
    <w:r w:rsidR="005F76CD"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="005F76CD" w:rsidRPr="00F94550">
      <w:rPr>
        <w:rFonts w:ascii="Arial" w:hAnsi="Arial" w:cs="Arial"/>
        <w:sz w:val="20"/>
        <w:szCs w:val="20"/>
      </w:rPr>
      <w:t xml:space="preserve"> for</w:t>
    </w:r>
  </w:p>
  <w:p w14:paraId="3A615F1C" w14:textId="3EC3D349" w:rsidR="00D06B65" w:rsidRPr="00BD65D2" w:rsidRDefault="00336B0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</w:t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ab/>
    </w:r>
    <w:r w:rsidR="005F76CD">
      <w:rPr>
        <w:rFonts w:ascii="Arial" w:hAnsi="Arial"/>
        <w:sz w:val="20"/>
        <w:szCs w:val="20"/>
      </w:rPr>
      <w:t>“</w:t>
    </w:r>
    <w:r w:rsidR="005F76CD" w:rsidRPr="00F94550">
      <w:rPr>
        <w:rFonts w:ascii="Arial" w:hAnsi="Arial"/>
        <w:b/>
        <w:sz w:val="20"/>
        <w:szCs w:val="20"/>
      </w:rPr>
      <w:t>Instructions for Use</w:t>
    </w:r>
    <w:r w:rsidR="005F76CD">
      <w:rPr>
        <w:rFonts w:ascii="Arial" w:hAnsi="Arial"/>
        <w:b/>
        <w:sz w:val="20"/>
        <w:szCs w:val="20"/>
      </w:rPr>
      <w:t>”</w:t>
    </w:r>
    <w:r w:rsidR="005F76CD" w:rsidRPr="00F94550">
      <w:rPr>
        <w:rFonts w:ascii="Arial" w:hAnsi="Arial"/>
        <w:b/>
        <w:sz w:val="20"/>
        <w:szCs w:val="20"/>
      </w:rPr>
      <w:t xml:space="preserve"> (IFU)</w:t>
    </w:r>
  </w:p>
  <w:p w14:paraId="448A8BF0" w14:textId="73641712" w:rsidR="00835452" w:rsidRPr="00BD65D2" w:rsidRDefault="005F76C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="0088058D" w:rsidRPr="00BD65D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>7N0</w:t>
    </w:r>
    <w:r w:rsidR="00835452" w:rsidRPr="00BD65D2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03C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CB97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2705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NzE0NDA2NzUEYiUdpeDU4uLM/DyQAqNaADvhR8I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77730"/>
    <w:rsid w:val="00085E00"/>
    <w:rsid w:val="0009679C"/>
    <w:rsid w:val="000A4DAB"/>
    <w:rsid w:val="000A5E90"/>
    <w:rsid w:val="000B221E"/>
    <w:rsid w:val="000B6500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35AA4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81D49"/>
    <w:rsid w:val="0019307E"/>
    <w:rsid w:val="00197BB8"/>
    <w:rsid w:val="001A2D4D"/>
    <w:rsid w:val="001A54D0"/>
    <w:rsid w:val="001B0A47"/>
    <w:rsid w:val="001B140D"/>
    <w:rsid w:val="001C0083"/>
    <w:rsid w:val="001C228D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54F6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6B04"/>
    <w:rsid w:val="00337E3A"/>
    <w:rsid w:val="003528F8"/>
    <w:rsid w:val="00354386"/>
    <w:rsid w:val="00364784"/>
    <w:rsid w:val="00365D52"/>
    <w:rsid w:val="00367914"/>
    <w:rsid w:val="00367997"/>
    <w:rsid w:val="0037271D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5301"/>
    <w:rsid w:val="00486CFF"/>
    <w:rsid w:val="00493206"/>
    <w:rsid w:val="00493D14"/>
    <w:rsid w:val="004A1921"/>
    <w:rsid w:val="004B28F2"/>
    <w:rsid w:val="004C6C8F"/>
    <w:rsid w:val="004C72AD"/>
    <w:rsid w:val="004D46E1"/>
    <w:rsid w:val="004D6F0A"/>
    <w:rsid w:val="004E1E7A"/>
    <w:rsid w:val="004F0110"/>
    <w:rsid w:val="004F3A3A"/>
    <w:rsid w:val="004F5DC6"/>
    <w:rsid w:val="00503481"/>
    <w:rsid w:val="00511D00"/>
    <w:rsid w:val="00512069"/>
    <w:rsid w:val="00512F9A"/>
    <w:rsid w:val="00513A9C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E5E01"/>
    <w:rsid w:val="005F150D"/>
    <w:rsid w:val="005F2147"/>
    <w:rsid w:val="005F40D1"/>
    <w:rsid w:val="005F76CD"/>
    <w:rsid w:val="00607B65"/>
    <w:rsid w:val="006132E4"/>
    <w:rsid w:val="00615E4E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6764D"/>
    <w:rsid w:val="007713C6"/>
    <w:rsid w:val="00785012"/>
    <w:rsid w:val="00787B72"/>
    <w:rsid w:val="0079135B"/>
    <w:rsid w:val="00795FED"/>
    <w:rsid w:val="00796E2D"/>
    <w:rsid w:val="007A1CE6"/>
    <w:rsid w:val="007B1142"/>
    <w:rsid w:val="007B6279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0449D"/>
    <w:rsid w:val="008111DA"/>
    <w:rsid w:val="00811EBA"/>
    <w:rsid w:val="0081448E"/>
    <w:rsid w:val="00814ED3"/>
    <w:rsid w:val="00817C68"/>
    <w:rsid w:val="0082717B"/>
    <w:rsid w:val="0083253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95532"/>
    <w:rsid w:val="008A63C6"/>
    <w:rsid w:val="008B3743"/>
    <w:rsid w:val="008B674C"/>
    <w:rsid w:val="008C3A0F"/>
    <w:rsid w:val="008C57A3"/>
    <w:rsid w:val="008C6245"/>
    <w:rsid w:val="008D0D0A"/>
    <w:rsid w:val="008D4624"/>
    <w:rsid w:val="008F055B"/>
    <w:rsid w:val="008F068B"/>
    <w:rsid w:val="008F67DF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66BC0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5582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2401B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CF63DB"/>
    <w:rsid w:val="00D02421"/>
    <w:rsid w:val="00D0558E"/>
    <w:rsid w:val="00D06B65"/>
    <w:rsid w:val="00D15949"/>
    <w:rsid w:val="00D2483C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36B2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175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0C58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3175B"/>
    <w:rsid w:val="00F36678"/>
    <w:rsid w:val="00F5280B"/>
    <w:rsid w:val="00F54266"/>
    <w:rsid w:val="00F57236"/>
    <w:rsid w:val="00F57FCC"/>
    <w:rsid w:val="00F63DAC"/>
    <w:rsid w:val="00F63E15"/>
    <w:rsid w:val="00F66008"/>
    <w:rsid w:val="00F70EE0"/>
    <w:rsid w:val="00F72135"/>
    <w:rsid w:val="00F76880"/>
    <w:rsid w:val="00F779B0"/>
    <w:rsid w:val="00F849BD"/>
    <w:rsid w:val="00F87A9B"/>
    <w:rsid w:val="00F9230B"/>
    <w:rsid w:val="00FA2A88"/>
    <w:rsid w:val="00FB46C6"/>
    <w:rsid w:val="00FB5A41"/>
    <w:rsid w:val="00FB5D47"/>
    <w:rsid w:val="00FB69BE"/>
    <w:rsid w:val="00FB6E97"/>
    <w:rsid w:val="00FC489A"/>
    <w:rsid w:val="00FD23D7"/>
    <w:rsid w:val="00FD5638"/>
    <w:rsid w:val="00FE4448"/>
    <w:rsid w:val="00FE4FFC"/>
    <w:rsid w:val="00FE54F4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worldmarrow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524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3816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22</cp:revision>
  <cp:lastPrinted>2022-02-01T08:07:00Z</cp:lastPrinted>
  <dcterms:created xsi:type="dcterms:W3CDTF">2022-01-26T11:14:00Z</dcterms:created>
  <dcterms:modified xsi:type="dcterms:W3CDTF">2022-02-01T08:10:00Z</dcterms:modified>
</cp:coreProperties>
</file>